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B2B4" w14:textId="77777777" w:rsidR="00EA385E" w:rsidRPr="009A0D57" w:rsidRDefault="00EA385E" w:rsidP="00EA38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57">
        <w:rPr>
          <w:rFonts w:ascii="Times New Roman" w:eastAsia="Times New Roman" w:hAnsi="Times New Roman" w:cs="Times New Roman"/>
          <w:b/>
          <w:sz w:val="24"/>
          <w:szCs w:val="24"/>
        </w:rPr>
        <w:t>METHOD SPECIFICATION</w:t>
      </w:r>
    </w:p>
    <w:p w14:paraId="1E5CA518" w14:textId="77777777" w:rsidR="00EA385E" w:rsidRDefault="00EA385E" w:rsidP="00EA38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57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</w:p>
    <w:p w14:paraId="0863BEE8" w14:textId="77777777" w:rsidR="00FB27AB" w:rsidRDefault="002A63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68EAF654">
          <v:rect id="_x0000_i1025" style="width:0;height:1.5pt" o:hralign="center" o:hrstd="t" o:hr="t" fillcolor="#a0a0a0" stroked="f"/>
        </w:pict>
      </w:r>
    </w:p>
    <w:p w14:paraId="759F89BE" w14:textId="7F355609" w:rsidR="00FB27AB" w:rsidRDefault="009A26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</w:t>
      </w:r>
      <w:r w:rsidR="00D40571">
        <w:rPr>
          <w:rFonts w:ascii="Times New Roman" w:eastAsia="Times New Roman" w:hAnsi="Times New Roman" w:cs="Times New Roman"/>
          <w:b/>
          <w:sz w:val="24"/>
          <w:szCs w:val="24"/>
        </w:rPr>
        <w:t>: Yttrium</w:t>
      </w:r>
    </w:p>
    <w:p w14:paraId="04743876" w14:textId="5775C66C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No.: Msp1073</w:t>
      </w:r>
    </w:p>
    <w:p w14:paraId="79A6B2D9" w14:textId="77777777" w:rsidR="00FB27AB" w:rsidRDefault="002A636A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18F8D819">
          <v:rect id="_x0000_i1026" style="width:0;height:1.5pt" o:hralign="center" o:hrstd="t" o:hr="t" fillcolor="#a0a0a0" stroked="f"/>
        </w:pict>
      </w:r>
    </w:p>
    <w:p w14:paraId="0B282094" w14:textId="77777777" w:rsidR="00FB27AB" w:rsidRDefault="00D40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Method of analysis / Principle / Main instrument</w:t>
      </w:r>
    </w:p>
    <w:p w14:paraId="1D76770E" w14:textId="2C50FA3E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Yttrium (Y</w:t>
      </w:r>
      <w:r w:rsidRPr="006F26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26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often used as a marker in digestive studies of fish as Yttrium should not affect the fish's metabolism and it can be added to the feed in relatively low concentrations </w:t>
      </w:r>
      <w:r w:rsidR="00162447" w:rsidRPr="001624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2447">
        <w:rPr>
          <w:rFonts w:ascii="Times New Roman" w:eastAsia="Times New Roman" w:hAnsi="Times New Roman" w:cs="Times New Roman"/>
          <w:sz w:val="24"/>
          <w:szCs w:val="24"/>
        </w:rPr>
        <w:t>0.1 g/kg)</w:t>
      </w:r>
      <w:r w:rsidRPr="00162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20AC8" w14:textId="1417EAE2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then important to be able to determine Yttrium in the </w:t>
      </w:r>
      <w:r w:rsidR="00162447">
        <w:rPr>
          <w:rFonts w:ascii="Times New Roman" w:eastAsia="Times New Roman" w:hAnsi="Times New Roman" w:cs="Times New Roman"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faeces.</w:t>
      </w:r>
    </w:p>
    <w:p w14:paraId="03248B6D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963D" w14:textId="6B95E028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decomposition of the sample is the most critical part of the analysis as incomplete decomposition can have a great influence on the result. Loss of Yttrium must also be prevented during decomposition. An effective method is to use microwave decomposition with acid as everything takes place in a closed system. The samples are decomposed in a mixture of nitric acid and hydrogen peroxide (</w:t>
      </w:r>
      <w:r w:rsidR="0016244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09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615A22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18C40D" w14:textId="31AF7BBE" w:rsidR="00162447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Yttrium is determined spectrophotometrically using MP-AES (Microwave Plasma Atomic Emission Spectrometer), which has better sensitivity and is much faster than ordinary flame atomic absorption (AA).</w:t>
      </w:r>
    </w:p>
    <w:p w14:paraId="214C4CC8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A6A61" w14:textId="77777777" w:rsidR="00FB27AB" w:rsidRDefault="00D40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013FB6ED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9519B" w14:textId="77777777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Regulation (EC) No 152/2009. 27 Jan 2009. Laying down the methods of sampling and analysis for the official control of feed. Annex III, P, Official Journal of the European Union L54 / 1 from 26/02/2009</w:t>
      </w:r>
    </w:p>
    <w:p w14:paraId="719C60ED" w14:textId="77777777" w:rsidR="00FB27AB" w:rsidRDefault="00D405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METHODS OF ANALYSIS TO CONTROL THE LEVEL OF AUTHORISED ADDITIVES IN FEED (PART: C. DETERMINATION OF THE TRACE ELEMENTS IRON, COPPER, MANGANESE AND ZINC) page 72-76.</w:t>
      </w:r>
    </w:p>
    <w:p w14:paraId="173F6396" w14:textId="77777777" w:rsidR="00FB27AB" w:rsidRDefault="00FB27A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DC32E7" w14:textId="77777777" w:rsidR="00FB27AB" w:rsidRDefault="00D405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Modifications:</w:t>
      </w:r>
    </w:p>
    <w:p w14:paraId="1B99B7B7" w14:textId="77777777" w:rsidR="00FB27AB" w:rsidRDefault="00D405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decomposition: Application Note PRO-AG-02; Dried Plant Tissue (Milestone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3299B41" w14:textId="6FC54794" w:rsidR="00FB27AB" w:rsidRDefault="00D4057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Instrument: MP-AES 4200 (Agilent Technologies)</w:t>
      </w:r>
      <w:r w:rsidR="00890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5FA29" w14:textId="1F61A9A1" w:rsidR="00FB27AB" w:rsidRDefault="00D40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for grinding and temperature </w:t>
      </w:r>
    </w:p>
    <w:p w14:paraId="17CABFF4" w14:textId="56B2C629" w:rsidR="00FB27AB" w:rsidRDefault="00162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</w:t>
      </w:r>
      <w:r w:rsidR="00D40571">
        <w:rPr>
          <w:rFonts w:ascii="Times New Roman" w:eastAsia="Times New Roman" w:hAnsi="Times New Roman" w:cs="Times New Roman"/>
          <w:sz w:val="24"/>
          <w:szCs w:val="24"/>
        </w:rPr>
        <w:t>/faeces samples</w:t>
      </w:r>
      <w:r w:rsidR="00D17D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0571">
        <w:rPr>
          <w:rFonts w:ascii="Times New Roman" w:eastAsia="Times New Roman" w:hAnsi="Times New Roman" w:cs="Times New Roman"/>
          <w:sz w:val="24"/>
          <w:szCs w:val="24"/>
        </w:rPr>
        <w:t xml:space="preserve"> 0.5 mm degree of </w:t>
      </w:r>
      <w:r>
        <w:rPr>
          <w:rFonts w:ascii="Times New Roman" w:eastAsia="Times New Roman" w:hAnsi="Times New Roman" w:cs="Times New Roman"/>
          <w:sz w:val="24"/>
          <w:szCs w:val="24"/>
        </w:rPr>
        <w:t>grinding.</w:t>
      </w:r>
    </w:p>
    <w:p w14:paraId="5832AAF0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494FA" w14:textId="77777777" w:rsidR="00FB27AB" w:rsidRDefault="002A636A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86F9EC">
          <v:rect id="_x0000_i1027" style="width:0;height:1.5pt" o:hralign="center" o:hrstd="t" o:hr="t" fillcolor="#a0a0a0" stroked="f"/>
        </w:pict>
      </w:r>
    </w:p>
    <w:p w14:paraId="386401DA" w14:textId="77777777" w:rsidR="00FB27AB" w:rsidRPr="0054481C" w:rsidRDefault="00D40571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54481C">
        <w:rPr>
          <w:rFonts w:ascii="Times New Roman" w:eastAsia="Times New Roman" w:hAnsi="Times New Roman" w:cs="Times New Roman"/>
          <w:sz w:val="20"/>
          <w:szCs w:val="20"/>
          <w:vertAlign w:val="superscript"/>
          <w:lang w:val="nb-NO"/>
        </w:rPr>
        <w:t xml:space="preserve">1 </w:t>
      </w:r>
      <w:proofErr w:type="spellStart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>Austreng</w:t>
      </w:r>
      <w:proofErr w:type="spellEnd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, E. Storebakken, T., Thomassen, M. Refstie, S., </w:t>
      </w:r>
      <w:proofErr w:type="spellStart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>Tomassen</w:t>
      </w:r>
      <w:proofErr w:type="spellEnd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, Y., 2000, </w:t>
      </w:r>
      <w:proofErr w:type="spellStart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>Aquaculture</w:t>
      </w:r>
      <w:proofErr w:type="spellEnd"/>
      <w:r w:rsidRPr="0054481C">
        <w:rPr>
          <w:rFonts w:ascii="Times New Roman" w:eastAsia="Times New Roman" w:hAnsi="Times New Roman" w:cs="Times New Roman"/>
          <w:sz w:val="20"/>
          <w:szCs w:val="20"/>
          <w:lang w:val="nb-NO"/>
        </w:rPr>
        <w:t>, 188, 65-78.</w:t>
      </w:r>
    </w:p>
    <w:p w14:paraId="6FA7E986" w14:textId="77777777" w:rsidR="00FB27AB" w:rsidRDefault="00D405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Reis, P., Valente, L., Almeida, M., 2008, Food Chemistry, 108: 3, 1094-1098</w:t>
      </w:r>
    </w:p>
    <w:p w14:paraId="17B6B803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E0828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4BC1CC" w14:textId="2DBA0392" w:rsidR="00FB27AB" w:rsidRDefault="00D40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</w:t>
      </w:r>
      <w:r w:rsidR="002A636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E1C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566BB9" w14:textId="2A7FD71B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B72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3F6F9663" w14:textId="77777777" w:rsidR="00FB27AB" w:rsidRDefault="00D405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Milena Bjelanovic / Frank Sundby / Kari Eikanger</w:t>
      </w:r>
    </w:p>
    <w:p w14:paraId="36E9294F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29145" w14:textId="77777777" w:rsidR="00FB27AB" w:rsidRDefault="00FB27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BC82C" w14:textId="4BFD3678" w:rsidR="00FB27AB" w:rsidRDefault="00D40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94264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376B4475" w14:textId="77777777" w:rsidR="00FB27AB" w:rsidRPr="0054481C" w:rsidRDefault="00D405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54481C">
        <w:rPr>
          <w:rFonts w:ascii="Times New Roman" w:eastAsia="Times New Roman" w:hAnsi="Times New Roman" w:cs="Times New Roman"/>
          <w:sz w:val="24"/>
          <w:szCs w:val="24"/>
          <w:lang w:val="nb-NO"/>
        </w:rPr>
        <w:t>Austreng</w:t>
      </w:r>
      <w:proofErr w:type="spellEnd"/>
      <w:r w:rsidRPr="0054481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E. Storebakken, T., Thomassen, M. Refstie, S., </w:t>
      </w:r>
      <w:proofErr w:type="spellStart"/>
      <w:r w:rsidRPr="0054481C">
        <w:rPr>
          <w:rFonts w:ascii="Times New Roman" w:eastAsia="Times New Roman" w:hAnsi="Times New Roman" w:cs="Times New Roman"/>
          <w:sz w:val="24"/>
          <w:szCs w:val="24"/>
          <w:lang w:val="nb-NO"/>
        </w:rPr>
        <w:t>Tomassen</w:t>
      </w:r>
      <w:proofErr w:type="spellEnd"/>
      <w:r w:rsidRPr="0054481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Y., 2000, </w:t>
      </w:r>
      <w:proofErr w:type="spellStart"/>
      <w:r w:rsidRPr="0054481C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Aquaculture</w:t>
      </w:r>
      <w:proofErr w:type="spellEnd"/>
      <w:r w:rsidRPr="0054481C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,</w:t>
      </w:r>
      <w:r w:rsidRPr="0054481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188, 65-78.</w:t>
      </w:r>
    </w:p>
    <w:p w14:paraId="292E1BBD" w14:textId="77777777" w:rsidR="00FB27AB" w:rsidRDefault="00D4057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Reis, P., Valente, L., Almeida, M., 2008, Food Chemistry, 108: 3, 1094-1098.</w:t>
      </w:r>
    </w:p>
    <w:sectPr w:rsidR="00FB27AB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13E0" w14:textId="77777777" w:rsidR="00E90872" w:rsidRDefault="00E90872">
      <w:pPr>
        <w:spacing w:line="240" w:lineRule="auto"/>
      </w:pPr>
      <w:r>
        <w:separator/>
      </w:r>
    </w:p>
  </w:endnote>
  <w:endnote w:type="continuationSeparator" w:id="0">
    <w:p w14:paraId="1F8CEF62" w14:textId="77777777" w:rsidR="00E90872" w:rsidRDefault="00E9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55BE" w14:textId="77777777" w:rsidR="00FB27AB" w:rsidRDefault="00FB27A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786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1747"/>
      <w:gridCol w:w="1212"/>
    </w:tblGrid>
    <w:tr w:rsidR="00FB27AB" w14:paraId="6598E991" w14:textId="77777777">
      <w:tc>
        <w:tcPr>
          <w:tcW w:w="2128" w:type="dxa"/>
        </w:tcPr>
        <w:p w14:paraId="723E2327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446" w:type="dxa"/>
          <w:gridSpan w:val="5"/>
        </w:tcPr>
        <w:p w14:paraId="54D773CC" w14:textId="77777777" w:rsidR="00FB27AB" w:rsidRDefault="00FB27A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12" w:type="dxa"/>
        </w:tcPr>
        <w:p w14:paraId="688230D9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FB27AB" w14:paraId="65EB4AE9" w14:textId="77777777">
      <w:tc>
        <w:tcPr>
          <w:tcW w:w="2128" w:type="dxa"/>
        </w:tcPr>
        <w:p w14:paraId="36455FBB" w14:textId="6B56B1F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6925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1E764CAC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  <w:p w14:paraId="3B681DC1" w14:textId="77777777" w:rsidR="00FB27AB" w:rsidRDefault="00FB27A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53" w:type="dxa"/>
        </w:tcPr>
        <w:p w14:paraId="244A4297" w14:textId="3066FBC8" w:rsidR="00FB27AB" w:rsidRPr="009E1C65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1C65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6925EC" w:rsidRPr="009E1C65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4FE96DA7" w14:textId="77777777" w:rsidR="00FB27AB" w:rsidRPr="009E1C65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1C65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98" w:type="dxa"/>
        </w:tcPr>
        <w:p w14:paraId="49206E7E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7C3BB4E8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074" w:type="dxa"/>
        </w:tcPr>
        <w:p w14:paraId="19982005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7C111D7B" w14:textId="77777777" w:rsidR="00FB27AB" w:rsidRDefault="00FB27A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74" w:type="dxa"/>
        </w:tcPr>
        <w:p w14:paraId="37A4E455" w14:textId="79D6029E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6925EC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4BD8530A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01.02.02</w:t>
          </w:r>
        </w:p>
      </w:tc>
      <w:tc>
        <w:tcPr>
          <w:tcW w:w="1747" w:type="dxa"/>
        </w:tcPr>
        <w:p w14:paraId="44F68F62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41E779E5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Msp1073 yttrium.docx</w:t>
          </w:r>
        </w:p>
      </w:tc>
      <w:tc>
        <w:tcPr>
          <w:tcW w:w="1212" w:type="dxa"/>
        </w:tcPr>
        <w:p w14:paraId="683C111E" w14:textId="5630D761" w:rsidR="00FB27AB" w:rsidRDefault="006925E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63699E50" w14:textId="77777777" w:rsidR="00FB27AB" w:rsidRDefault="00D4057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1-2</w:t>
          </w:r>
        </w:p>
      </w:tc>
    </w:tr>
  </w:tbl>
  <w:p w14:paraId="0EA5C369" w14:textId="77777777" w:rsidR="00FB27AB" w:rsidRDefault="00FB27AB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0959" w14:textId="77777777" w:rsidR="00E90872" w:rsidRDefault="00E90872">
      <w:pPr>
        <w:spacing w:line="240" w:lineRule="auto"/>
      </w:pPr>
      <w:r>
        <w:separator/>
      </w:r>
    </w:p>
  </w:footnote>
  <w:footnote w:type="continuationSeparator" w:id="0">
    <w:p w14:paraId="5E9E9FFE" w14:textId="77777777" w:rsidR="00E90872" w:rsidRDefault="00E90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CD4"/>
    <w:multiLevelType w:val="multilevel"/>
    <w:tmpl w:val="9C7EFF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423A61"/>
    <w:multiLevelType w:val="multilevel"/>
    <w:tmpl w:val="BF0CC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15483F"/>
    <w:multiLevelType w:val="multilevel"/>
    <w:tmpl w:val="CE2AC08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AB"/>
    <w:rsid w:val="00162447"/>
    <w:rsid w:val="002A636A"/>
    <w:rsid w:val="0054481C"/>
    <w:rsid w:val="00594264"/>
    <w:rsid w:val="006925EC"/>
    <w:rsid w:val="006F2698"/>
    <w:rsid w:val="008909AE"/>
    <w:rsid w:val="009A264D"/>
    <w:rsid w:val="009E1C65"/>
    <w:rsid w:val="00A443E1"/>
    <w:rsid w:val="00B72D52"/>
    <w:rsid w:val="00D17D61"/>
    <w:rsid w:val="00D40571"/>
    <w:rsid w:val="00E90872"/>
    <w:rsid w:val="00EA385E"/>
    <w:rsid w:val="00F84E1F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1DA5D"/>
  <w15:docId w15:val="{D6B06B9B-4B84-44FE-94E8-B7D9F32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5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EC"/>
  </w:style>
  <w:style w:type="paragraph" w:styleId="Footer">
    <w:name w:val="footer"/>
    <w:basedOn w:val="Normal"/>
    <w:link w:val="FooterChar"/>
    <w:uiPriority w:val="99"/>
    <w:unhideWhenUsed/>
    <w:rsid w:val="006925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14</cp:revision>
  <dcterms:created xsi:type="dcterms:W3CDTF">2020-12-07T11:27:00Z</dcterms:created>
  <dcterms:modified xsi:type="dcterms:W3CDTF">2021-03-15T17:16:00Z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2021-03-15T15:17:29Z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3a58323d-83eb-4d47-804f-2cdbc8d3a977</vt:lpwstr>
  </property>
  <property fmtid="{D5CDD505-2E9C-101B-9397-08002B2CF9AE}" pid="8" name="MSIP_Label_d0484126-3486-41a9-802e-7f1e2277276c_ContentBits">
    <vt:lpwstr>0</vt:lpwstr>
  </property>
</Properties>
</file>