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29" w:rsidRDefault="00072C29" w:rsidP="00072C29">
      <w:pPr>
        <w:pStyle w:val="Overskrift1"/>
        <w:spacing w:before="0"/>
        <w:rPr>
          <w:shd w:val="clear" w:color="auto" w:fill="FFFFFF"/>
        </w:rPr>
      </w:pPr>
    </w:p>
    <w:p w:rsidR="00072C29" w:rsidRDefault="00072C29" w:rsidP="00072C29">
      <w:pPr>
        <w:pStyle w:val="Overskrift1"/>
        <w:spacing w:before="0" w:after="240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887EF2">
        <w:rPr>
          <w:shd w:val="clear" w:color="auto" w:fill="FFFFFF"/>
        </w:rPr>
        <w:t>NMBU MSCA Postdoctoral masterclass 2021</w:t>
      </w:r>
      <w:bookmarkStart w:id="0" w:name="_GoBack"/>
      <w:bookmarkEnd w:id="0"/>
    </w:p>
    <w:p w:rsidR="00072C29" w:rsidRDefault="00072C29" w:rsidP="00072C29">
      <w:pPr>
        <w:shd w:val="clear" w:color="auto" w:fill="FFFFFF"/>
        <w:spacing w:after="240" w:line="240" w:lineRule="auto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072C2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Programme</w:t>
      </w:r>
      <w:proofErr w:type="spellEnd"/>
      <w:r w:rsidRPr="00072C2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outline*:</w:t>
      </w:r>
    </w:p>
    <w:tbl>
      <w:tblPr>
        <w:tblStyle w:val="Tabellrutenett"/>
        <w:tblpPr w:leftFromText="180" w:rightFromText="180" w:vertAnchor="text" w:horzAnchor="margin" w:tblpY="168"/>
        <w:tblW w:w="9640" w:type="dxa"/>
        <w:tblLook w:val="04A0" w:firstRow="1" w:lastRow="0" w:firstColumn="1" w:lastColumn="0" w:noHBand="0" w:noVBand="1"/>
      </w:tblPr>
      <w:tblGrid>
        <w:gridCol w:w="2405"/>
        <w:gridCol w:w="4825"/>
        <w:gridCol w:w="2410"/>
      </w:tblGrid>
      <w:tr w:rsidR="00072C29" w:rsidTr="00BC1FE7">
        <w:tc>
          <w:tcPr>
            <w:tcW w:w="2405" w:type="dxa"/>
          </w:tcPr>
          <w:p w:rsidR="00072C29" w:rsidRPr="00775A14" w:rsidRDefault="00072C29" w:rsidP="00BC1FE7">
            <w:pPr>
              <w:spacing w:after="240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775A1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nb-NO"/>
              </w:rPr>
              <w:t>Date</w:t>
            </w:r>
          </w:p>
        </w:tc>
        <w:tc>
          <w:tcPr>
            <w:tcW w:w="4825" w:type="dxa"/>
          </w:tcPr>
          <w:p w:rsidR="00072C29" w:rsidRPr="00775A14" w:rsidRDefault="00072C29" w:rsidP="00BC1FE7">
            <w:pPr>
              <w:spacing w:after="240"/>
              <w:rPr>
                <w:b/>
                <w:bCs/>
              </w:rPr>
            </w:pPr>
            <w:r w:rsidRPr="00775A14">
              <w:rPr>
                <w:b/>
                <w:bCs/>
              </w:rPr>
              <w:t>Activity</w:t>
            </w:r>
          </w:p>
        </w:tc>
        <w:tc>
          <w:tcPr>
            <w:tcW w:w="2410" w:type="dxa"/>
          </w:tcPr>
          <w:p w:rsidR="00072C29" w:rsidRPr="00775A14" w:rsidRDefault="00072C29" w:rsidP="00BC1FE7">
            <w:pPr>
              <w:spacing w:after="240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775A1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nb-NO"/>
              </w:rPr>
              <w:t>Responsible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21.December 2020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cstheme="minorHAnsi"/>
                <w:sz w:val="24"/>
                <w:szCs w:val="24"/>
              </w:rPr>
              <w:t>Deadline for NMBU supervisors send in suggested topics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Supervisors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January 2021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cstheme="minorHAnsi"/>
                <w:sz w:val="24"/>
                <w:szCs w:val="24"/>
              </w:rPr>
              <w:t>EURAXESS advertisements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EU-team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27.February 2021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Deadline for candidates to apply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Candidates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3. March 2021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Deadline for supervisors to evaluate candidates (after advertisement and propose candidates.</w:t>
            </w:r>
          </w:p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Same deadline applies to propose candidates from own network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Supervisors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10.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 xml:space="preserve"> </w:t>
            </w: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March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Proposed candidate evaluated by EU-team and selected candidates are invited to introduction webinar and NMBU MSCA-IF Symposium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EU-team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March 2021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Introduction webinar - MSCA IF basics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EU-team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Early April 2020              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Workshop/pre-</w:t>
            </w:r>
            <w:proofErr w:type="gramStart"/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meeting  for</w:t>
            </w:r>
            <w:proofErr w:type="gramEnd"/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 xml:space="preserve"> supervisors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EU-Team / Supervisors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  <w:t xml:space="preserve">Mid-April 2021              </w:t>
            </w:r>
          </w:p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  <w:t>3 days MSCA IF Symposium</w:t>
            </w: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br/>
              <w:t>-day 1: how to apply</w:t>
            </w: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br/>
              <w:t xml:space="preserve">-day 2: Get to know NMBU / practical aspects </w:t>
            </w:r>
            <w:proofErr w:type="spellStart"/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etc</w:t>
            </w:r>
            <w:proofErr w:type="spellEnd"/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br/>
              <w:t>-day 3: candidate and supervisor works on the proposal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EU-Team / Trend 2000 / Candidates / Supervisors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Early June 2021              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 xml:space="preserve">Pre-evaluation </w:t>
            </w:r>
            <w:proofErr w:type="gramStart"/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1.draft</w:t>
            </w:r>
            <w:proofErr w:type="gramEnd"/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Candidates/ EU-team</w:t>
            </w:r>
          </w:p>
        </w:tc>
      </w:tr>
      <w:tr w:rsidR="00072C29" w:rsidRPr="00BE4793" w:rsidTr="00BC1FE7"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5. August 2021              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 xml:space="preserve">Deadline to submit second draft (full proposal) for Pre-evaluation by external consultant </w:t>
            </w:r>
          </w:p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Input to administrative forms in the electronic proposal system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Candidates / Trend 2000</w:t>
            </w: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br/>
            </w: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Candidates /</w:t>
            </w: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EU-team</w:t>
            </w:r>
          </w:p>
        </w:tc>
      </w:tr>
      <w:tr w:rsidR="00072C29" w:rsidRPr="00BE4793" w:rsidTr="00BC1FE7">
        <w:trPr>
          <w:trHeight w:val="341"/>
        </w:trPr>
        <w:tc>
          <w:tcPr>
            <w:tcW w:w="240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Early September</w:t>
            </w:r>
          </w:p>
        </w:tc>
        <w:tc>
          <w:tcPr>
            <w:tcW w:w="4825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Expected deadline for submission</w:t>
            </w:r>
          </w:p>
        </w:tc>
        <w:tc>
          <w:tcPr>
            <w:tcW w:w="2410" w:type="dxa"/>
          </w:tcPr>
          <w:p w:rsidR="00072C29" w:rsidRPr="00BE4793" w:rsidRDefault="00072C29" w:rsidP="00BC1FE7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</w:pPr>
            <w:r w:rsidRPr="00BE4793">
              <w:rPr>
                <w:rFonts w:eastAsia="Times New Roman" w:cstheme="minorHAnsi"/>
                <w:color w:val="333333"/>
                <w:sz w:val="24"/>
                <w:szCs w:val="24"/>
                <w:lang w:eastAsia="nb-NO"/>
              </w:rPr>
              <w:t>Candidate</w:t>
            </w:r>
          </w:p>
        </w:tc>
      </w:tr>
    </w:tbl>
    <w:p w:rsidR="00072C29" w:rsidRDefault="00072C29" w:rsidP="00072C29">
      <w:pPr>
        <w:shd w:val="clear" w:color="auto" w:fill="FFFFFF"/>
        <w:spacing w:after="240" w:line="240" w:lineRule="auto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072C29" w:rsidRDefault="00072C29" w:rsidP="00072C29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:rsidR="00C268AC" w:rsidRDefault="00072C29" w:rsidP="00072C29">
      <w:pPr>
        <w:shd w:val="clear" w:color="auto" w:fill="FFFFFF"/>
        <w:spacing w:after="240" w:line="240" w:lineRule="auto"/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*: </w:t>
      </w:r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 xml:space="preserve">The </w:t>
      </w:r>
      <w:proofErr w:type="spellStart"/>
      <w:proofErr w:type="gramStart"/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>workprogramme</w:t>
      </w:r>
      <w:proofErr w:type="spellEnd"/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 and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 call deadline </w:t>
      </w:r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 xml:space="preserve">for 2021 is not 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y</w:t>
      </w:r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 xml:space="preserve">et published. Hence there may be 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minor </w:t>
      </w:r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 xml:space="preserve">changes in the </w:t>
      </w:r>
      <w:proofErr w:type="spellStart"/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>programme</w:t>
      </w:r>
      <w:proofErr w:type="spellEnd"/>
      <w:r w:rsidRPr="00BE4793">
        <w:rPr>
          <w:rFonts w:eastAsia="Times New Roman" w:cstheme="minorHAnsi"/>
          <w:color w:val="333333"/>
          <w:sz w:val="24"/>
          <w:szCs w:val="24"/>
          <w:lang w:eastAsia="nb-NO"/>
        </w:rPr>
        <w:t>.</w:t>
      </w:r>
    </w:p>
    <w:sectPr w:rsidR="00C268AC" w:rsidSect="0007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29" w:rsidRDefault="00072C29" w:rsidP="00072C29">
      <w:pPr>
        <w:spacing w:after="0" w:line="240" w:lineRule="auto"/>
      </w:pPr>
      <w:r>
        <w:separator/>
      </w:r>
    </w:p>
  </w:endnote>
  <w:endnote w:type="continuationSeparator" w:id="0">
    <w:p w:rsidR="00072C29" w:rsidRDefault="00072C29" w:rsidP="0007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29" w:rsidRDefault="00072C29" w:rsidP="00072C29">
      <w:pPr>
        <w:spacing w:after="0" w:line="240" w:lineRule="auto"/>
      </w:pPr>
      <w:r>
        <w:separator/>
      </w:r>
    </w:p>
  </w:footnote>
  <w:footnote w:type="continuationSeparator" w:id="0">
    <w:p w:rsidR="00072C29" w:rsidRDefault="00072C29" w:rsidP="00072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9"/>
    <w:rsid w:val="00072C29"/>
    <w:rsid w:val="00C268AC"/>
    <w:rsid w:val="00C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A115"/>
  <w15:chartTrackingRefBased/>
  <w15:docId w15:val="{DF6822F9-B435-4DD5-9F17-F162B50B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29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2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2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C29"/>
    <w:rPr>
      <w:rFonts w:ascii="Segoe UI" w:hAnsi="Segoe UI" w:cs="Segoe UI"/>
      <w:sz w:val="18"/>
      <w:szCs w:val="18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2C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Holthe</dc:creator>
  <cp:keywords/>
  <dc:description/>
  <cp:lastModifiedBy>Monica Holthe</cp:lastModifiedBy>
  <cp:revision>1</cp:revision>
  <dcterms:created xsi:type="dcterms:W3CDTF">2020-11-06T13:48:00Z</dcterms:created>
  <dcterms:modified xsi:type="dcterms:W3CDTF">2020-11-06T13:54:00Z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monica.holthe@nmbu.no</vt:lpwstr>
  </property>
  <property fmtid="{D5CDD505-2E9C-101B-9397-08002B2CF9AE}" pid="5" name="MSIP_Label_d0484126-3486-41a9-802e-7f1e2277276c_SetDate">
    <vt:lpwstr>2020-11-06T13:54:26.8507479Z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9a707523-9ea8-42b7-8280-b67a0ea28e17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