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011B" w14:textId="11C1DD4A" w:rsidR="001308AE" w:rsidRDefault="001308AE" w:rsidP="001308AE">
      <w:pPr>
        <w:jc w:val="both"/>
        <w:rPr>
          <w:b/>
          <w:bCs/>
        </w:rPr>
      </w:pPr>
      <w:r>
        <w:rPr>
          <w:noProof/>
        </w:rPr>
        <w:drawing>
          <wp:anchor distT="0" distB="0" distL="114300" distR="114300" simplePos="0" relativeHeight="251659264" behindDoc="1" locked="0" layoutInCell="1" allowOverlap="1" wp14:anchorId="4ECEEBB9" wp14:editId="5AF55B71">
            <wp:simplePos x="0" y="0"/>
            <wp:positionH relativeFrom="page">
              <wp:posOffset>648335</wp:posOffset>
            </wp:positionH>
            <wp:positionV relativeFrom="page">
              <wp:posOffset>431800</wp:posOffset>
            </wp:positionV>
            <wp:extent cx="811530" cy="647065"/>
            <wp:effectExtent l="0" t="0" r="762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79D54E09" w14:textId="77777777" w:rsidR="001308AE" w:rsidRDefault="001308AE" w:rsidP="001308AE">
      <w:pPr>
        <w:jc w:val="both"/>
        <w:rPr>
          <w:b/>
          <w:bCs/>
        </w:rPr>
      </w:pPr>
    </w:p>
    <w:p w14:paraId="071F9866" w14:textId="77777777" w:rsidR="001308AE" w:rsidRDefault="001308AE" w:rsidP="001308AE">
      <w:pPr>
        <w:jc w:val="both"/>
        <w:rPr>
          <w:b/>
          <w:bCs/>
        </w:rPr>
      </w:pPr>
    </w:p>
    <w:p w14:paraId="62262E89" w14:textId="77777777" w:rsidR="001308AE" w:rsidRPr="00E7194E" w:rsidRDefault="001308AE" w:rsidP="001308AE">
      <w:pPr>
        <w:jc w:val="both"/>
        <w:rPr>
          <w:b/>
          <w:bCs/>
          <w:sz w:val="28"/>
          <w:szCs w:val="28"/>
        </w:rPr>
      </w:pPr>
    </w:p>
    <w:p w14:paraId="6DD4216C" w14:textId="77777777" w:rsidR="001308AE" w:rsidRPr="00C70D3D" w:rsidRDefault="001308AE" w:rsidP="001308AE">
      <w:pPr>
        <w:rPr>
          <w:rFonts w:ascii="Cambria" w:hAnsi="Cambria"/>
          <w:b/>
          <w:bCs/>
          <w:sz w:val="28"/>
          <w:szCs w:val="28"/>
          <w:u w:val="single"/>
          <w:lang w:val="en-GB"/>
        </w:rPr>
      </w:pPr>
      <w:r w:rsidRPr="00C70D3D">
        <w:rPr>
          <w:rFonts w:ascii="Cambria" w:hAnsi="Cambria"/>
          <w:b/>
          <w:bCs/>
          <w:sz w:val="28"/>
          <w:szCs w:val="28"/>
          <w:u w:val="single"/>
          <w:lang w:val="en-GB"/>
        </w:rPr>
        <w:t>Guidelines for allocating fund</w:t>
      </w:r>
      <w:r>
        <w:rPr>
          <w:rFonts w:ascii="Cambria" w:hAnsi="Cambria"/>
          <w:b/>
          <w:bCs/>
          <w:sz w:val="28"/>
          <w:szCs w:val="28"/>
          <w:u w:val="single"/>
          <w:lang w:val="en-GB"/>
        </w:rPr>
        <w:t xml:space="preserve">s </w:t>
      </w:r>
      <w:r w:rsidRPr="00C70D3D">
        <w:rPr>
          <w:rFonts w:ascii="Cambria" w:hAnsi="Cambria"/>
          <w:b/>
          <w:bCs/>
          <w:sz w:val="28"/>
          <w:szCs w:val="28"/>
          <w:u w:val="single"/>
          <w:lang w:val="en-GB"/>
        </w:rPr>
        <w:t xml:space="preserve">for international </w:t>
      </w:r>
      <w:r>
        <w:rPr>
          <w:rFonts w:ascii="Cambria" w:hAnsi="Cambria"/>
          <w:b/>
          <w:bCs/>
          <w:sz w:val="28"/>
          <w:szCs w:val="28"/>
          <w:u w:val="single"/>
          <w:lang w:val="en-GB"/>
        </w:rPr>
        <w:t>travel grant</w:t>
      </w:r>
      <w:r w:rsidRPr="00C70D3D">
        <w:rPr>
          <w:rFonts w:ascii="Cambria" w:hAnsi="Cambria"/>
          <w:b/>
          <w:bCs/>
          <w:sz w:val="28"/>
          <w:szCs w:val="28"/>
          <w:u w:val="single"/>
          <w:lang w:val="en-GB"/>
        </w:rPr>
        <w:t>:</w:t>
      </w:r>
    </w:p>
    <w:p w14:paraId="7E131C66" w14:textId="77777777" w:rsidR="001308AE" w:rsidRDefault="001308AE" w:rsidP="001308AE">
      <w:pPr>
        <w:rPr>
          <w:rFonts w:ascii="Cambria" w:hAnsi="Cambria"/>
          <w:b/>
          <w:bCs/>
          <w:sz w:val="28"/>
          <w:szCs w:val="28"/>
          <w:lang w:val="en-GB"/>
        </w:rPr>
      </w:pPr>
    </w:p>
    <w:p w14:paraId="3E35721C" w14:textId="77777777" w:rsidR="001308AE" w:rsidRPr="00061677" w:rsidRDefault="001308AE" w:rsidP="001308AE">
      <w:pPr>
        <w:rPr>
          <w:rFonts w:ascii="Cambria" w:hAnsi="Cambria"/>
          <w:b/>
          <w:bCs/>
          <w:i/>
          <w:lang w:val="en-GB"/>
        </w:rPr>
      </w:pPr>
      <w:r w:rsidRPr="00061677">
        <w:rPr>
          <w:rFonts w:ascii="Cambria" w:hAnsi="Cambria"/>
          <w:b/>
          <w:bCs/>
          <w:i/>
          <w:sz w:val="28"/>
          <w:szCs w:val="28"/>
          <w:lang w:val="en-GB"/>
        </w:rPr>
        <w:t>PhD</w:t>
      </w:r>
      <w:r>
        <w:rPr>
          <w:rFonts w:ascii="Cambria" w:hAnsi="Cambria"/>
          <w:b/>
          <w:bCs/>
          <w:i/>
          <w:sz w:val="28"/>
          <w:szCs w:val="28"/>
          <w:lang w:val="en-GB"/>
        </w:rPr>
        <w:t>-c</w:t>
      </w:r>
      <w:r w:rsidRPr="00061677">
        <w:rPr>
          <w:rFonts w:ascii="Cambria" w:hAnsi="Cambria"/>
          <w:b/>
          <w:bCs/>
          <w:i/>
          <w:sz w:val="28"/>
          <w:szCs w:val="28"/>
          <w:lang w:val="en-GB"/>
        </w:rPr>
        <w:t>andidates and Postdoctoral fellows in NMBU’s recruitment positions and Residents.</w:t>
      </w:r>
    </w:p>
    <w:p w14:paraId="23677C28" w14:textId="77777777" w:rsidR="001308AE" w:rsidRDefault="001308AE" w:rsidP="001308AE">
      <w:pPr>
        <w:rPr>
          <w:rFonts w:ascii="Cambria" w:hAnsi="Cambria"/>
          <w:b/>
          <w:bCs/>
          <w:lang w:val="en-GB"/>
        </w:rPr>
      </w:pPr>
    </w:p>
    <w:p w14:paraId="5412D828" w14:textId="77777777" w:rsidR="001308AE" w:rsidRPr="007640CB" w:rsidRDefault="001308AE" w:rsidP="001308AE">
      <w:pPr>
        <w:rPr>
          <w:rFonts w:ascii="Cambria" w:hAnsi="Cambria"/>
          <w:sz w:val="22"/>
          <w:szCs w:val="22"/>
          <w:lang w:val="en-GB"/>
        </w:rPr>
      </w:pPr>
      <w:r w:rsidRPr="007640CB">
        <w:rPr>
          <w:rFonts w:ascii="Cambria" w:hAnsi="Cambria"/>
          <w:sz w:val="22"/>
          <w:szCs w:val="22"/>
          <w:lang w:val="en-GB"/>
        </w:rPr>
        <w:t>NMBU strives for increased international cooperation and grants funding to international stays</w:t>
      </w:r>
      <w:r>
        <w:rPr>
          <w:rFonts w:ascii="Cambria" w:hAnsi="Cambria"/>
          <w:sz w:val="22"/>
          <w:szCs w:val="22"/>
          <w:lang w:val="en-GB"/>
        </w:rPr>
        <w:t xml:space="preserve"> for </w:t>
      </w:r>
      <w:r w:rsidRPr="007640CB">
        <w:rPr>
          <w:rFonts w:ascii="Cambria" w:hAnsi="Cambria"/>
          <w:sz w:val="22"/>
          <w:szCs w:val="22"/>
          <w:lang w:val="en-GB"/>
        </w:rPr>
        <w:t>PhD-candidates and Postdoctoral fellows in NMBU’s recruitment positions and Residents. A prerequisite is that the stay will take place at an international university or research institution of high esteem.</w:t>
      </w:r>
    </w:p>
    <w:p w14:paraId="71FB5743" w14:textId="77777777" w:rsidR="001308AE" w:rsidRPr="00B76857" w:rsidRDefault="001308AE" w:rsidP="001308AE">
      <w:pPr>
        <w:rPr>
          <w:rFonts w:ascii="Cambria" w:hAnsi="Cambria"/>
          <w:b/>
          <w:bCs/>
          <w:sz w:val="20"/>
          <w:szCs w:val="20"/>
          <w:lang w:val="en-GB"/>
        </w:rPr>
      </w:pPr>
    </w:p>
    <w:p w14:paraId="524F9249" w14:textId="77777777" w:rsidR="001308AE" w:rsidRPr="009C244E" w:rsidRDefault="001308AE" w:rsidP="001308AE">
      <w:pPr>
        <w:rPr>
          <w:rFonts w:ascii="Cambria" w:hAnsi="Cambria"/>
          <w:b/>
          <w:bCs/>
          <w:lang w:val="en-GB"/>
        </w:rPr>
      </w:pPr>
      <w:r w:rsidRPr="009C244E">
        <w:rPr>
          <w:rFonts w:ascii="Cambria" w:hAnsi="Cambria"/>
          <w:b/>
          <w:bCs/>
          <w:lang w:val="en-GB"/>
        </w:rPr>
        <w:t>Guidelines:</w:t>
      </w:r>
    </w:p>
    <w:p w14:paraId="51ABD88E" w14:textId="49A4121E" w:rsidR="001308AE" w:rsidRPr="002C4A8C" w:rsidRDefault="001308AE" w:rsidP="001308AE">
      <w:pPr>
        <w:numPr>
          <w:ilvl w:val="0"/>
          <w:numId w:val="1"/>
        </w:numPr>
        <w:tabs>
          <w:tab w:val="left" w:pos="340"/>
        </w:tabs>
        <w:spacing w:before="240"/>
        <w:rPr>
          <w:rFonts w:ascii="Cambria" w:hAnsi="Cambria"/>
          <w:sz w:val="22"/>
          <w:szCs w:val="22"/>
          <w:lang w:val="en-GB"/>
        </w:rPr>
      </w:pPr>
      <w:r w:rsidRPr="002C4A8C">
        <w:rPr>
          <w:rFonts w:ascii="Cambria" w:hAnsi="Cambria"/>
          <w:sz w:val="22"/>
          <w:szCs w:val="22"/>
          <w:lang w:val="en-GB"/>
        </w:rPr>
        <w:t xml:space="preserve">Awarding of grant presupposes approval </w:t>
      </w:r>
      <w:r>
        <w:rPr>
          <w:rFonts w:ascii="Cambria" w:hAnsi="Cambria"/>
          <w:sz w:val="22"/>
          <w:szCs w:val="22"/>
          <w:lang w:val="en-GB"/>
        </w:rPr>
        <w:t xml:space="preserve">of the international leave </w:t>
      </w:r>
      <w:r w:rsidRPr="002C4A8C">
        <w:rPr>
          <w:rFonts w:ascii="Cambria" w:hAnsi="Cambria"/>
          <w:sz w:val="22"/>
          <w:szCs w:val="22"/>
          <w:lang w:val="en-GB"/>
        </w:rPr>
        <w:t>by the faculty (dean) and the supervisor.</w:t>
      </w:r>
    </w:p>
    <w:p w14:paraId="489F97DA" w14:textId="18C01841" w:rsidR="001308AE" w:rsidRPr="002C4A8C" w:rsidRDefault="004D3E6A" w:rsidP="001308AE">
      <w:pPr>
        <w:pStyle w:val="Normal2"/>
        <w:numPr>
          <w:ilvl w:val="0"/>
          <w:numId w:val="1"/>
        </w:numPr>
        <w:tabs>
          <w:tab w:val="left" w:pos="340"/>
        </w:tabs>
        <w:overflowPunct/>
        <w:autoSpaceDE/>
        <w:spacing w:before="240"/>
        <w:textAlignment w:val="auto"/>
        <w:rPr>
          <w:rStyle w:val="Standardskriftforavsnitt1"/>
          <w:rFonts w:ascii="Cambria" w:hAnsi="Cambria"/>
          <w:szCs w:val="22"/>
          <w:lang w:val="en-GB"/>
        </w:rPr>
      </w:pPr>
      <w:r>
        <w:rPr>
          <w:rStyle w:val="Standardskriftforavsnitt1"/>
          <w:rFonts w:ascii="Cambria" w:hAnsi="Cambria"/>
          <w:szCs w:val="22"/>
          <w:lang w:val="en-GB"/>
        </w:rPr>
        <w:t>S</w:t>
      </w:r>
      <w:r w:rsidR="001308AE" w:rsidRPr="002C4A8C">
        <w:rPr>
          <w:rStyle w:val="Standardskriftforavsnitt1"/>
          <w:rFonts w:ascii="Cambria" w:hAnsi="Cambria"/>
          <w:szCs w:val="22"/>
          <w:lang w:val="en-GB"/>
        </w:rPr>
        <w:t xml:space="preserve">tays at </w:t>
      </w:r>
      <w:r>
        <w:rPr>
          <w:rStyle w:val="Standardskriftforavsnitt1"/>
          <w:rFonts w:ascii="Cambria" w:hAnsi="Cambria"/>
          <w:szCs w:val="22"/>
          <w:lang w:val="en-GB"/>
        </w:rPr>
        <w:t>m</w:t>
      </w:r>
      <w:r w:rsidRPr="002C4A8C">
        <w:rPr>
          <w:rStyle w:val="Standardskriftforavsnitt1"/>
          <w:rFonts w:ascii="Cambria" w:hAnsi="Cambria"/>
          <w:szCs w:val="22"/>
          <w:lang w:val="en-GB"/>
        </w:rPr>
        <w:t xml:space="preserve">aximum two </w:t>
      </w:r>
      <w:r w:rsidR="001308AE" w:rsidRPr="002C4A8C">
        <w:rPr>
          <w:rStyle w:val="Standardskriftforavsnitt1"/>
          <w:rFonts w:ascii="Cambria" w:hAnsi="Cambria"/>
          <w:szCs w:val="22"/>
          <w:lang w:val="en-GB"/>
        </w:rPr>
        <w:t>different institutions of high international reputation can be granted. These should be quality assured by the faculty. Applicants shall document the collaboration with the institution they want to visit.</w:t>
      </w:r>
    </w:p>
    <w:p w14:paraId="2D915EFD" w14:textId="6C648847" w:rsidR="001308AE" w:rsidRPr="002C4A8C" w:rsidRDefault="001308AE" w:rsidP="001308AE">
      <w:pPr>
        <w:numPr>
          <w:ilvl w:val="0"/>
          <w:numId w:val="1"/>
        </w:numPr>
        <w:tabs>
          <w:tab w:val="left" w:pos="340"/>
        </w:tabs>
        <w:spacing w:before="240"/>
        <w:rPr>
          <w:rFonts w:ascii="Cambria" w:hAnsi="Cambria"/>
          <w:sz w:val="22"/>
          <w:szCs w:val="22"/>
          <w:lang w:val="en-GB"/>
        </w:rPr>
      </w:pPr>
      <w:r w:rsidRPr="002C4A8C">
        <w:rPr>
          <w:rStyle w:val="hps"/>
          <w:rFonts w:ascii="Cambria" w:hAnsi="Cambria" w:cs="Arial"/>
          <w:color w:val="222222"/>
          <w:sz w:val="22"/>
          <w:szCs w:val="22"/>
          <w:lang w:val="en"/>
        </w:rPr>
        <w:t xml:space="preserve">Travel grant can be granted for at least </w:t>
      </w:r>
      <w:r w:rsidR="004D3E6A">
        <w:rPr>
          <w:rStyle w:val="hps"/>
          <w:rFonts w:ascii="Cambria" w:hAnsi="Cambria" w:cs="Arial"/>
          <w:color w:val="222222"/>
          <w:sz w:val="22"/>
          <w:szCs w:val="22"/>
          <w:lang w:val="en"/>
        </w:rPr>
        <w:t>2</w:t>
      </w:r>
      <w:r w:rsidRPr="002C4A8C">
        <w:rPr>
          <w:rStyle w:val="hps"/>
          <w:rFonts w:ascii="Cambria" w:hAnsi="Cambria" w:cs="Arial"/>
          <w:color w:val="222222"/>
          <w:sz w:val="22"/>
          <w:szCs w:val="22"/>
          <w:lang w:val="en"/>
        </w:rPr>
        <w:t xml:space="preserve"> and a maximum of </w:t>
      </w:r>
      <w:r w:rsidR="004D3E6A">
        <w:rPr>
          <w:rStyle w:val="hps"/>
          <w:rFonts w:ascii="Cambria" w:hAnsi="Cambria" w:cs="Arial"/>
          <w:color w:val="222222"/>
          <w:sz w:val="22"/>
          <w:szCs w:val="22"/>
          <w:lang w:val="en"/>
        </w:rPr>
        <w:t>6</w:t>
      </w:r>
      <w:bookmarkStart w:id="0" w:name="_GoBack"/>
      <w:bookmarkEnd w:id="0"/>
      <w:r w:rsidRPr="002C4A8C">
        <w:rPr>
          <w:rStyle w:val="hps"/>
          <w:rFonts w:ascii="Cambria" w:hAnsi="Cambria" w:cs="Arial"/>
          <w:color w:val="222222"/>
          <w:sz w:val="22"/>
          <w:szCs w:val="22"/>
          <w:lang w:val="en"/>
        </w:rPr>
        <w:t xml:space="preserve"> months.</w:t>
      </w:r>
    </w:p>
    <w:p w14:paraId="3CF5CCC1" w14:textId="77777777" w:rsidR="001308AE" w:rsidRPr="002C4A8C" w:rsidRDefault="001308AE" w:rsidP="001308AE">
      <w:pPr>
        <w:pStyle w:val="Default"/>
        <w:numPr>
          <w:ilvl w:val="0"/>
          <w:numId w:val="1"/>
        </w:numPr>
        <w:spacing w:before="240"/>
        <w:rPr>
          <w:rFonts w:ascii="Cambria" w:hAnsi="Cambria" w:cs="Arial"/>
          <w:sz w:val="22"/>
          <w:szCs w:val="22"/>
          <w:lang w:val="en-GB"/>
        </w:rPr>
      </w:pPr>
      <w:r w:rsidRPr="002C4A8C">
        <w:rPr>
          <w:rFonts w:ascii="Cambria" w:hAnsi="Cambria" w:cs="Arial"/>
          <w:sz w:val="22"/>
          <w:szCs w:val="22"/>
          <w:lang w:val="en-GB"/>
        </w:rPr>
        <w:t xml:space="preserve">If there are other alternative sources of funding, application shall be made to that source. If an application for funding for travel and living expenses from sources other than NMBU is accepted, the grant from NMBU will be reduced. </w:t>
      </w:r>
    </w:p>
    <w:p w14:paraId="3CBCCE79" w14:textId="77777777" w:rsidR="001308AE" w:rsidRPr="002C4A8C" w:rsidRDefault="001308AE" w:rsidP="001308AE">
      <w:pPr>
        <w:pStyle w:val="Default"/>
        <w:numPr>
          <w:ilvl w:val="0"/>
          <w:numId w:val="1"/>
        </w:numPr>
        <w:spacing w:before="240"/>
        <w:rPr>
          <w:rFonts w:ascii="Cambria" w:hAnsi="Cambria"/>
          <w:b/>
          <w:bCs/>
          <w:sz w:val="22"/>
          <w:szCs w:val="22"/>
          <w:lang w:val="en-GB"/>
        </w:rPr>
      </w:pPr>
      <w:r w:rsidRPr="002C4A8C">
        <w:rPr>
          <w:rFonts w:ascii="Cambria" w:hAnsi="Cambria" w:cs="Arial"/>
          <w:sz w:val="22"/>
          <w:szCs w:val="22"/>
          <w:lang w:val="en-GB"/>
        </w:rPr>
        <w:t>Allocation of funds for stays abroad will be calculated according to the rates published by the Research Council of Norway. The funds can be used for travel and living expenses (one return trip per visiting institution; max. two institutions).</w:t>
      </w:r>
    </w:p>
    <w:p w14:paraId="3249C0F0" w14:textId="77777777" w:rsidR="001308AE" w:rsidRPr="002C4A8C" w:rsidRDefault="001308AE" w:rsidP="001308AE">
      <w:pPr>
        <w:pStyle w:val="Default"/>
        <w:numPr>
          <w:ilvl w:val="0"/>
          <w:numId w:val="1"/>
        </w:numPr>
        <w:spacing w:before="240"/>
        <w:rPr>
          <w:rFonts w:ascii="Cambria" w:hAnsi="Cambria" w:cs="Arial"/>
          <w:bCs/>
          <w:sz w:val="22"/>
          <w:szCs w:val="22"/>
          <w:lang w:val="en-GB"/>
        </w:rPr>
      </w:pPr>
      <w:r w:rsidRPr="002C4A8C">
        <w:rPr>
          <w:rFonts w:ascii="Cambria" w:hAnsi="Cambria"/>
          <w:sz w:val="22"/>
          <w:szCs w:val="22"/>
          <w:lang w:val="en-GB"/>
        </w:rPr>
        <w:t>Funding will not be allocated for course fees, conferences, “bench fees” or operating expenses.</w:t>
      </w:r>
    </w:p>
    <w:p w14:paraId="527B8DE1" w14:textId="77777777" w:rsidR="001308AE" w:rsidRPr="002C4A8C" w:rsidRDefault="001308AE" w:rsidP="001308AE">
      <w:pPr>
        <w:pStyle w:val="Default"/>
        <w:numPr>
          <w:ilvl w:val="0"/>
          <w:numId w:val="1"/>
        </w:numPr>
        <w:spacing w:before="240"/>
        <w:rPr>
          <w:rFonts w:ascii="Cambria" w:hAnsi="Cambria"/>
          <w:b/>
          <w:bCs/>
          <w:sz w:val="22"/>
          <w:szCs w:val="22"/>
          <w:lang w:val="en-GB"/>
        </w:rPr>
      </w:pPr>
      <w:r w:rsidRPr="002C4A8C">
        <w:rPr>
          <w:rStyle w:val="hps"/>
          <w:rFonts w:ascii="Cambria" w:hAnsi="Cambria" w:cs="Arial"/>
          <w:color w:val="222222"/>
          <w:sz w:val="22"/>
          <w:szCs w:val="22"/>
          <w:lang w:val="en"/>
        </w:rPr>
        <w:t>If there are more applications than the</w:t>
      </w:r>
      <w:r w:rsidRPr="002C4A8C">
        <w:rPr>
          <w:rFonts w:ascii="Cambria" w:hAnsi="Cambria" w:cs="Arial"/>
          <w:color w:val="222222"/>
          <w:sz w:val="22"/>
          <w:szCs w:val="22"/>
          <w:lang w:val="en"/>
        </w:rPr>
        <w:t xml:space="preserve"> </w:t>
      </w:r>
      <w:r w:rsidRPr="002C4A8C">
        <w:rPr>
          <w:rStyle w:val="hps"/>
          <w:rFonts w:ascii="Cambria" w:hAnsi="Cambria" w:cs="Arial"/>
          <w:color w:val="222222"/>
          <w:sz w:val="22"/>
          <w:szCs w:val="22"/>
          <w:lang w:val="en"/>
        </w:rPr>
        <w:t>budget</w:t>
      </w:r>
      <w:r w:rsidRPr="002C4A8C">
        <w:rPr>
          <w:rFonts w:ascii="Cambria" w:hAnsi="Cambria" w:cs="Arial"/>
          <w:color w:val="222222"/>
          <w:sz w:val="22"/>
          <w:szCs w:val="22"/>
          <w:lang w:val="en"/>
        </w:rPr>
        <w:t xml:space="preserve"> covers, grants will be reduced and the </w:t>
      </w:r>
      <w:r w:rsidRPr="002C4A8C">
        <w:rPr>
          <w:rStyle w:val="hps"/>
          <w:rFonts w:ascii="Cambria" w:hAnsi="Cambria" w:cs="Arial"/>
          <w:color w:val="222222"/>
          <w:sz w:val="22"/>
          <w:szCs w:val="22"/>
          <w:lang w:val="en"/>
        </w:rPr>
        <w:t>principle that "</w:t>
      </w:r>
      <w:r w:rsidRPr="002C4A8C">
        <w:rPr>
          <w:rFonts w:ascii="Cambria" w:hAnsi="Cambria" w:cs="Arial"/>
          <w:color w:val="222222"/>
          <w:sz w:val="22"/>
          <w:szCs w:val="22"/>
          <w:lang w:val="en"/>
        </w:rPr>
        <w:t xml:space="preserve">as many as possible </w:t>
      </w:r>
      <w:r w:rsidRPr="002C4A8C">
        <w:rPr>
          <w:rStyle w:val="hps"/>
          <w:rFonts w:ascii="Cambria" w:hAnsi="Cambria" w:cs="Arial"/>
          <w:color w:val="222222"/>
          <w:sz w:val="22"/>
          <w:szCs w:val="22"/>
          <w:lang w:val="en"/>
        </w:rPr>
        <w:t>applications should be</w:t>
      </w:r>
      <w:r w:rsidRPr="002C4A8C">
        <w:rPr>
          <w:rFonts w:ascii="Cambria" w:hAnsi="Cambria" w:cs="Arial"/>
          <w:color w:val="222222"/>
          <w:sz w:val="22"/>
          <w:szCs w:val="22"/>
          <w:lang w:val="en"/>
        </w:rPr>
        <w:t xml:space="preserve"> </w:t>
      </w:r>
      <w:r w:rsidRPr="002C4A8C">
        <w:rPr>
          <w:rStyle w:val="hps"/>
          <w:rFonts w:ascii="Cambria" w:hAnsi="Cambria" w:cs="Arial"/>
          <w:color w:val="222222"/>
          <w:sz w:val="22"/>
          <w:szCs w:val="22"/>
          <w:lang w:val="en"/>
        </w:rPr>
        <w:t>granted</w:t>
      </w:r>
      <w:r w:rsidRPr="002C4A8C">
        <w:rPr>
          <w:rFonts w:ascii="Cambria" w:hAnsi="Cambria" w:cs="Arial"/>
          <w:color w:val="222222"/>
          <w:sz w:val="22"/>
          <w:szCs w:val="22"/>
          <w:lang w:val="en"/>
        </w:rPr>
        <w:t>" will be used.</w:t>
      </w:r>
    </w:p>
    <w:p w14:paraId="68FED0A5" w14:textId="77777777" w:rsidR="001308AE" w:rsidRPr="002C4A8C" w:rsidRDefault="001308AE" w:rsidP="001308AE">
      <w:pPr>
        <w:pStyle w:val="Default"/>
        <w:numPr>
          <w:ilvl w:val="0"/>
          <w:numId w:val="1"/>
        </w:numPr>
        <w:spacing w:before="240"/>
        <w:rPr>
          <w:rFonts w:ascii="Cambria" w:hAnsi="Cambria"/>
          <w:sz w:val="22"/>
          <w:szCs w:val="22"/>
          <w:lang w:val="en-GB"/>
        </w:rPr>
      </w:pPr>
      <w:r w:rsidRPr="002C4A8C">
        <w:rPr>
          <w:rFonts w:ascii="Cambria" w:hAnsi="Cambria"/>
          <w:sz w:val="22"/>
          <w:szCs w:val="22"/>
          <w:lang w:val="en-GB"/>
        </w:rPr>
        <w:t>At the time of submission of the grant application, the applicant must not have lived or worked for more than 12 months over the past three years in the country where the international host institution is located</w:t>
      </w:r>
      <w:r w:rsidRPr="00792357">
        <w:rPr>
          <w:rFonts w:ascii="Cambria" w:hAnsi="Cambria" w:cs="Calibri"/>
          <w:sz w:val="22"/>
          <w:szCs w:val="22"/>
          <w:lang w:val="en-GB"/>
        </w:rPr>
        <w:t>.</w:t>
      </w:r>
      <w:r w:rsidRPr="00792357">
        <w:rPr>
          <w:rFonts w:ascii="Cambria" w:hAnsi="Cambria" w:cs="Calibri"/>
          <w:sz w:val="22"/>
          <w:szCs w:val="22"/>
        </w:rPr>
        <w:t xml:space="preserve"> </w:t>
      </w:r>
      <w:r w:rsidRPr="002C4A8C">
        <w:rPr>
          <w:rFonts w:ascii="Cambria" w:hAnsi="Cambria" w:cs="Calibri"/>
          <w:sz w:val="22"/>
          <w:szCs w:val="22"/>
        </w:rPr>
        <w:t xml:space="preserve">Exceptions may be made to this rule </w:t>
      </w:r>
      <w:r w:rsidRPr="00792357">
        <w:rPr>
          <w:rFonts w:ascii="Cambria" w:hAnsi="Cambria" w:cs="Calibri"/>
          <w:sz w:val="22"/>
          <w:szCs w:val="22"/>
        </w:rPr>
        <w:t xml:space="preserve">after approval </w:t>
      </w:r>
      <w:r w:rsidRPr="002C4A8C">
        <w:rPr>
          <w:rFonts w:ascii="Cambria" w:hAnsi="Cambria"/>
          <w:sz w:val="22"/>
          <w:szCs w:val="22"/>
          <w:lang w:val="en-GB"/>
        </w:rPr>
        <w:t>by the dean. This must have a clear professional justification. CV must be attached as documentation.</w:t>
      </w:r>
    </w:p>
    <w:p w14:paraId="129736F7" w14:textId="77777777" w:rsidR="001308AE" w:rsidRPr="002C4A8C" w:rsidRDefault="001308AE" w:rsidP="001308AE">
      <w:pPr>
        <w:pStyle w:val="Default"/>
        <w:numPr>
          <w:ilvl w:val="0"/>
          <w:numId w:val="1"/>
        </w:numPr>
        <w:spacing w:before="240"/>
        <w:rPr>
          <w:rFonts w:ascii="Cambria" w:hAnsi="Cambria"/>
          <w:sz w:val="22"/>
          <w:szCs w:val="22"/>
          <w:lang w:val="en-GB"/>
        </w:rPr>
      </w:pPr>
      <w:r w:rsidRPr="002C4A8C">
        <w:rPr>
          <w:rFonts w:ascii="Cambria" w:hAnsi="Cambria"/>
          <w:sz w:val="22"/>
          <w:szCs w:val="22"/>
          <w:lang w:val="en-GB"/>
        </w:rPr>
        <w:t>Applicants who received a travel grant must submit a final report to the Research Support Office and a disbursement form to the Finance Department when the stay abroad is over (within one month of returning home).</w:t>
      </w:r>
    </w:p>
    <w:p w14:paraId="20412293" w14:textId="77777777" w:rsidR="0011428A" w:rsidRDefault="0011428A"/>
    <w:sectPr w:rsidR="00114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75604"/>
    <w:multiLevelType w:val="hybridMultilevel"/>
    <w:tmpl w:val="B39E5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3A"/>
    <w:rsid w:val="0011428A"/>
    <w:rsid w:val="001308AE"/>
    <w:rsid w:val="004D3E6A"/>
    <w:rsid w:val="005C1DA9"/>
    <w:rsid w:val="00D766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FC745C"/>
  <w15:chartTrackingRefBased/>
  <w15:docId w15:val="{CB094ECD-63BB-484D-AB9A-D019DC81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8AE"/>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308AE"/>
    <w:pPr>
      <w:autoSpaceDE w:val="0"/>
      <w:autoSpaceDN w:val="0"/>
      <w:adjustRightInd w:val="0"/>
      <w:spacing w:after="0" w:line="240" w:lineRule="auto"/>
    </w:pPr>
    <w:rPr>
      <w:rFonts w:ascii="Garamond" w:eastAsia="Times New Roman" w:hAnsi="Garamond" w:cs="Garamond"/>
      <w:color w:val="000000"/>
      <w:sz w:val="24"/>
      <w:szCs w:val="24"/>
      <w:lang w:eastAsia="nb-NO"/>
    </w:rPr>
  </w:style>
  <w:style w:type="paragraph" w:customStyle="1" w:styleId="Normal2">
    <w:name w:val="Normal2"/>
    <w:rsid w:val="001308AE"/>
    <w:pPr>
      <w:suppressAutoHyphens/>
      <w:overflowPunct w:val="0"/>
      <w:autoSpaceDE w:val="0"/>
      <w:spacing w:after="0" w:line="100" w:lineRule="atLeast"/>
      <w:textAlignment w:val="baseline"/>
    </w:pPr>
    <w:rPr>
      <w:rFonts w:ascii="Times New Roman" w:eastAsia="Times New Roman" w:hAnsi="Times New Roman" w:cs="Times New Roman"/>
      <w:szCs w:val="20"/>
      <w:lang w:eastAsia="ar-SA"/>
    </w:rPr>
  </w:style>
  <w:style w:type="character" w:customStyle="1" w:styleId="Standardskriftforavsnitt1">
    <w:name w:val="Standardskrift for avsnitt1"/>
    <w:rsid w:val="001308AE"/>
  </w:style>
  <w:style w:type="character" w:customStyle="1" w:styleId="hps">
    <w:name w:val="hps"/>
    <w:rsid w:val="0013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1863</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Lewandowska-Sabat</dc:creator>
  <cp:keywords/>
  <dc:description/>
  <cp:lastModifiedBy>Anna Lewandowska-Sabat</cp:lastModifiedBy>
  <cp:revision>3</cp:revision>
  <dcterms:created xsi:type="dcterms:W3CDTF">2020-09-17T09:18:00Z</dcterms:created>
  <dcterms:modified xsi:type="dcterms:W3CDTF">2020-09-17T09:19:00Z</dcterms:modified>
</cp:coreProperties>
</file>