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9A2462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Økonomistyring – budsjettdata i</w:t>
            </w:r>
            <w:r w:rsidR="009A246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hovedbok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3261C4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det er anlegg</w:t>
            </w:r>
            <w:r w:rsidR="009A246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bokført iht. prosjektavtale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9A2462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Feil bruk av bidragsyters midler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015137" w:rsidRPr="00015137" w:rsidRDefault="00015137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015137">
        <w:rPr>
          <w:rFonts w:asciiTheme="majorHAnsi" w:eastAsia="Times New Roman" w:hAnsiTheme="majorHAnsi" w:cs="Times New Roman"/>
          <w:sz w:val="20"/>
          <w:szCs w:val="20"/>
          <w:lang w:eastAsia="nb-NO"/>
        </w:rPr>
        <w:t>Gå på spørring bilag og åpne browser «BOA 11 Utstyr»:</w:t>
      </w:r>
    </w:p>
    <w:p w:rsidR="00015137" w:rsidRPr="00015137" w:rsidRDefault="00015137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015137" w:rsidRPr="00015137" w:rsidRDefault="00F61BF9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 wp14:anchorId="36B17546" wp14:editId="3B3D21CC">
            <wp:extent cx="6205855" cy="1951990"/>
            <wp:effectExtent l="0" t="0" r="444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37" w:rsidRPr="00015137" w:rsidRDefault="00015137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015137" w:rsidRPr="00015137" w:rsidRDefault="00F61BF9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 wp14:anchorId="233D0F4C" wp14:editId="62A18BD1">
            <wp:extent cx="6205855" cy="993140"/>
            <wp:effectExtent l="0" t="0" r="444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37" w:rsidRDefault="00015137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F61BF9" w:rsidRPr="00015137" w:rsidRDefault="00F61BF9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Trekk sammen resultatet og kopier til Excel. Kopier så resultatet uten å trekke det sammen og kopier til et annet ark i samme fil. Ta utgangspunkt i sistnevnte ark og bruk funksjonen finn.rad til å hente koststed og prosjektnr. til hvert enkelt utstyr i førstnevnte ark. Sorter på enhet etter å ha brukt Data-Tekst til kolonner for å finne enhet fra koststed.   </w:t>
      </w:r>
    </w:p>
    <w:p w:rsidR="00015137" w:rsidRPr="00015137" w:rsidRDefault="00015137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015137">
        <w:rPr>
          <w:rFonts w:asciiTheme="majorHAnsi" w:eastAsia="Times New Roman" w:hAnsiTheme="majorHAnsi" w:cs="Times New Roman"/>
          <w:sz w:val="20"/>
          <w:szCs w:val="20"/>
          <w:lang w:eastAsia="nb-NO"/>
        </w:rPr>
        <w:t>Send ut liste ti</w:t>
      </w:r>
      <w:r w:rsidR="00F61BF9">
        <w:rPr>
          <w:rFonts w:asciiTheme="majorHAnsi" w:eastAsia="Times New Roman" w:hAnsiTheme="majorHAnsi" w:cs="Times New Roman"/>
          <w:sz w:val="20"/>
          <w:szCs w:val="20"/>
          <w:lang w:eastAsia="nb-NO"/>
        </w:rPr>
        <w:t>l enhetene og be om forklaring (enten «Iht. avtale» eller «omposteres»).</w:t>
      </w: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15137" w:rsidRPr="00015137" w:rsidRDefault="00015137" w:rsidP="00015137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96C09" w:rsidRDefault="00296C09" w:rsidP="00B260D3">
      <w:pPr>
        <w:pStyle w:val="Veths-brdtekst"/>
      </w:pPr>
    </w:p>
    <w:sectPr w:rsidR="00296C09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4B4077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4B4077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15137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261C4"/>
    <w:rsid w:val="00332908"/>
    <w:rsid w:val="00363762"/>
    <w:rsid w:val="003C7353"/>
    <w:rsid w:val="003E3EB9"/>
    <w:rsid w:val="00445725"/>
    <w:rsid w:val="00475F80"/>
    <w:rsid w:val="00494F15"/>
    <w:rsid w:val="004A1203"/>
    <w:rsid w:val="004B4077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A2462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61BF9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73EB1-1821-4413-B498-13613E8F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1</Pages>
  <Words>138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2015-12-02T08:27:00Z</dcterms:created>
  <dcterms:modified xsi:type="dcterms:W3CDTF">2015-12-02T08:27:00Z</dcterms:modified>
</cp:coreProperties>
</file>